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88A9" w14:textId="7EDCC370" w:rsidR="00405AF3" w:rsidRPr="00405AF3" w:rsidRDefault="00405AF3" w:rsidP="00405AF3">
      <w:pPr>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noProof/>
          <w:color w:val="0000FF"/>
          <w:kern w:val="0"/>
          <w:sz w:val="24"/>
          <w:szCs w:val="24"/>
          <w:lang w:eastAsia="en-NZ"/>
          <w14:ligatures w14:val="none"/>
        </w:rPr>
        <w:drawing>
          <wp:inline distT="0" distB="0" distL="0" distR="0" wp14:anchorId="18BC4E75" wp14:editId="2E8D5403">
            <wp:extent cx="2856865" cy="1161415"/>
            <wp:effectExtent l="0" t="0" r="0" b="0"/>
            <wp:docPr id="1552956371" name="Picture 2" descr="Centre for Thriving Plac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for Thriving Plac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6865" cy="1161415"/>
                    </a:xfrm>
                    <a:prstGeom prst="rect">
                      <a:avLst/>
                    </a:prstGeom>
                    <a:noFill/>
                    <a:ln>
                      <a:noFill/>
                    </a:ln>
                  </pic:spPr>
                </pic:pic>
              </a:graphicData>
            </a:graphic>
          </wp:inline>
        </w:drawing>
      </w:r>
    </w:p>
    <w:p w14:paraId="578186C5" w14:textId="77777777" w:rsidR="00405AF3" w:rsidRPr="00405AF3" w:rsidRDefault="00405AF3" w:rsidP="00405AF3">
      <w:pPr>
        <w:numPr>
          <w:ilvl w:val="0"/>
          <w:numId w:val="1"/>
        </w:numPr>
        <w:spacing w:before="100" w:beforeAutospacing="1" w:after="100" w:afterAutospacing="1"/>
        <w:rPr>
          <w:rFonts w:ascii="Times New Roman" w:eastAsia="Times New Roman" w:hAnsi="Times New Roman" w:cs="Times New Roman"/>
          <w:kern w:val="0"/>
          <w:sz w:val="24"/>
          <w:szCs w:val="24"/>
          <w:lang w:eastAsia="en-NZ"/>
          <w14:ligatures w14:val="none"/>
        </w:rPr>
      </w:pPr>
    </w:p>
    <w:p w14:paraId="1F1C296E" w14:textId="77777777" w:rsidR="00405AF3" w:rsidRPr="00405AF3" w:rsidRDefault="00405AF3" w:rsidP="00405AF3">
      <w:pPr>
        <w:numPr>
          <w:ilvl w:val="0"/>
          <w:numId w:val="1"/>
        </w:numPr>
        <w:spacing w:before="100" w:beforeAutospacing="1" w:after="100" w:afterAutospacing="1"/>
        <w:rPr>
          <w:rFonts w:ascii="Times New Roman" w:eastAsia="Times New Roman" w:hAnsi="Times New Roman" w:cs="Times New Roman"/>
          <w:kern w:val="0"/>
          <w:sz w:val="24"/>
          <w:szCs w:val="24"/>
          <w:lang w:eastAsia="en-NZ"/>
          <w14:ligatures w14:val="none"/>
        </w:rPr>
      </w:pPr>
    </w:p>
    <w:p w14:paraId="166E3017" w14:textId="77777777" w:rsidR="00405AF3" w:rsidRPr="00405AF3" w:rsidRDefault="00405AF3" w:rsidP="00405AF3">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hyperlink r:id="rId7" w:history="1">
        <w:r w:rsidRPr="00405AF3">
          <w:rPr>
            <w:rFonts w:ascii="Times New Roman" w:eastAsia="Times New Roman" w:hAnsi="Times New Roman" w:cs="Times New Roman"/>
            <w:color w:val="0000FF"/>
            <w:kern w:val="0"/>
            <w:sz w:val="24"/>
            <w:szCs w:val="24"/>
            <w:u w:val="single"/>
            <w:lang w:eastAsia="en-NZ"/>
            <w14:ligatures w14:val="none"/>
          </w:rPr>
          <w:t>About us</w:t>
        </w:r>
      </w:hyperlink>
      <w:r w:rsidRPr="00405AF3">
        <w:rPr>
          <w:rFonts w:ascii="Times New Roman" w:eastAsia="Times New Roman" w:hAnsi="Times New Roman" w:cs="Times New Roman"/>
          <w:kern w:val="0"/>
          <w:sz w:val="24"/>
          <w:szCs w:val="24"/>
          <w:lang w:eastAsia="en-NZ"/>
          <w14:ligatures w14:val="none"/>
        </w:rPr>
        <w:t xml:space="preserve"> </w:t>
      </w:r>
    </w:p>
    <w:p w14:paraId="1C378EA4" w14:textId="77777777" w:rsidR="00405AF3" w:rsidRPr="00405AF3" w:rsidRDefault="00405AF3" w:rsidP="00405AF3">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hyperlink r:id="rId8" w:history="1">
        <w:r w:rsidRPr="00405AF3">
          <w:rPr>
            <w:rFonts w:ascii="Times New Roman" w:eastAsia="Times New Roman" w:hAnsi="Times New Roman" w:cs="Times New Roman"/>
            <w:color w:val="0000FF"/>
            <w:kern w:val="0"/>
            <w:sz w:val="24"/>
            <w:szCs w:val="24"/>
            <w:u w:val="single"/>
            <w:lang w:eastAsia="en-NZ"/>
            <w14:ligatures w14:val="none"/>
          </w:rPr>
          <w:t>Our Services</w:t>
        </w:r>
      </w:hyperlink>
      <w:r w:rsidRPr="00405AF3">
        <w:rPr>
          <w:rFonts w:ascii="Times New Roman" w:eastAsia="Times New Roman" w:hAnsi="Times New Roman" w:cs="Times New Roman"/>
          <w:kern w:val="0"/>
          <w:sz w:val="24"/>
          <w:szCs w:val="24"/>
          <w:lang w:eastAsia="en-NZ"/>
          <w14:ligatures w14:val="none"/>
        </w:rPr>
        <w:t xml:space="preserve"> </w:t>
      </w:r>
    </w:p>
    <w:p w14:paraId="1A67EA78" w14:textId="77777777" w:rsidR="00405AF3" w:rsidRPr="00405AF3" w:rsidRDefault="00405AF3" w:rsidP="00405AF3">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hyperlink r:id="rId9" w:history="1">
        <w:r w:rsidRPr="00405AF3">
          <w:rPr>
            <w:rFonts w:ascii="Times New Roman" w:eastAsia="Times New Roman" w:hAnsi="Times New Roman" w:cs="Times New Roman"/>
            <w:color w:val="0000FF"/>
            <w:kern w:val="0"/>
            <w:sz w:val="24"/>
            <w:szCs w:val="24"/>
            <w:u w:val="single"/>
            <w:lang w:eastAsia="en-NZ"/>
            <w14:ligatures w14:val="none"/>
          </w:rPr>
          <w:t>Tools &amp; Resources</w:t>
        </w:r>
      </w:hyperlink>
      <w:r w:rsidRPr="00405AF3">
        <w:rPr>
          <w:rFonts w:ascii="Times New Roman" w:eastAsia="Times New Roman" w:hAnsi="Times New Roman" w:cs="Times New Roman"/>
          <w:kern w:val="0"/>
          <w:sz w:val="24"/>
          <w:szCs w:val="24"/>
          <w:lang w:eastAsia="en-NZ"/>
          <w14:ligatures w14:val="none"/>
        </w:rPr>
        <w:t xml:space="preserve"> </w:t>
      </w:r>
    </w:p>
    <w:p w14:paraId="1F9ABC9C" w14:textId="77777777" w:rsidR="00405AF3" w:rsidRPr="00405AF3" w:rsidRDefault="00405AF3" w:rsidP="00405AF3">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hyperlink r:id="rId10" w:history="1">
        <w:r w:rsidRPr="00405AF3">
          <w:rPr>
            <w:rFonts w:ascii="Times New Roman" w:eastAsia="Times New Roman" w:hAnsi="Times New Roman" w:cs="Times New Roman"/>
            <w:color w:val="0000FF"/>
            <w:kern w:val="0"/>
            <w:sz w:val="24"/>
            <w:szCs w:val="24"/>
            <w:u w:val="single"/>
            <w:lang w:eastAsia="en-NZ"/>
            <w14:ligatures w14:val="none"/>
          </w:rPr>
          <w:t>Contact us</w:t>
        </w:r>
      </w:hyperlink>
      <w:r w:rsidRPr="00405AF3">
        <w:rPr>
          <w:rFonts w:ascii="Times New Roman" w:eastAsia="Times New Roman" w:hAnsi="Times New Roman" w:cs="Times New Roman"/>
          <w:kern w:val="0"/>
          <w:sz w:val="24"/>
          <w:szCs w:val="24"/>
          <w:lang w:eastAsia="en-NZ"/>
          <w14:ligatures w14:val="none"/>
        </w:rPr>
        <w:t xml:space="preserve"> </w:t>
      </w:r>
    </w:p>
    <w:p w14:paraId="0E427D4C" w14:textId="77777777" w:rsidR="00405AF3" w:rsidRPr="00405AF3" w:rsidRDefault="00405AF3" w:rsidP="00405AF3">
      <w:pPr>
        <w:numPr>
          <w:ilvl w:val="0"/>
          <w:numId w:val="2"/>
        </w:numPr>
        <w:spacing w:before="100" w:beforeAutospacing="1" w:after="100" w:afterAutospacing="1"/>
        <w:rPr>
          <w:rFonts w:ascii="Times New Roman" w:eastAsia="Times New Roman" w:hAnsi="Times New Roman" w:cs="Times New Roman"/>
          <w:kern w:val="0"/>
          <w:sz w:val="24"/>
          <w:szCs w:val="24"/>
          <w:lang w:eastAsia="en-NZ"/>
          <w14:ligatures w14:val="none"/>
        </w:rPr>
      </w:pPr>
    </w:p>
    <w:p w14:paraId="27CD912C" w14:textId="420ADC9B" w:rsidR="00405AF3" w:rsidRPr="00405AF3" w:rsidRDefault="00405AF3" w:rsidP="00405AF3">
      <w:pPr>
        <w:rPr>
          <w:rFonts w:ascii="Times New Roman" w:eastAsia="Times New Roman" w:hAnsi="Times New Roman" w:cs="Times New Roman"/>
          <w:color w:val="0000FF"/>
          <w:kern w:val="0"/>
          <w:sz w:val="24"/>
          <w:szCs w:val="24"/>
          <w:u w:val="single"/>
          <w:lang w:eastAsia="en-NZ"/>
          <w14:ligatures w14:val="none"/>
        </w:rPr>
      </w:pPr>
      <w:r w:rsidRPr="00405AF3">
        <w:rPr>
          <w:rFonts w:ascii="Times New Roman" w:eastAsia="Times New Roman" w:hAnsi="Times New Roman" w:cs="Times New Roman"/>
          <w:kern w:val="0"/>
          <w:sz w:val="24"/>
          <w:szCs w:val="24"/>
          <w:lang w:eastAsia="en-NZ"/>
          <w14:ligatures w14:val="none"/>
        </w:rPr>
        <w:fldChar w:fldCharType="begin"/>
      </w:r>
      <w:r w:rsidRPr="00405AF3">
        <w:rPr>
          <w:rFonts w:ascii="Times New Roman" w:eastAsia="Times New Roman" w:hAnsi="Times New Roman" w:cs="Times New Roman"/>
          <w:kern w:val="0"/>
          <w:sz w:val="24"/>
          <w:szCs w:val="24"/>
          <w:lang w:eastAsia="en-NZ"/>
          <w14:ligatures w14:val="none"/>
        </w:rPr>
        <w:instrText>HYPERLINK "https://www.centreforthrivingplaces.org/wp-content/uploads/2023/06/pexels-fauxels-3183197-2.jpg" \o "Could a wellbeing economy approach transform the NHS?"</w:instrText>
      </w:r>
      <w:r w:rsidRPr="00405AF3">
        <w:rPr>
          <w:rFonts w:ascii="Times New Roman" w:eastAsia="Times New Roman" w:hAnsi="Times New Roman" w:cs="Times New Roman"/>
          <w:kern w:val="0"/>
          <w:sz w:val="24"/>
          <w:szCs w:val="24"/>
          <w:lang w:eastAsia="en-NZ"/>
          <w14:ligatures w14:val="none"/>
        </w:rPr>
      </w:r>
      <w:r w:rsidRPr="00405AF3">
        <w:rPr>
          <w:rFonts w:ascii="Times New Roman" w:eastAsia="Times New Roman" w:hAnsi="Times New Roman" w:cs="Times New Roman"/>
          <w:kern w:val="0"/>
          <w:sz w:val="24"/>
          <w:szCs w:val="24"/>
          <w:lang w:eastAsia="en-NZ"/>
          <w14:ligatures w14:val="none"/>
        </w:rPr>
        <w:fldChar w:fldCharType="separate"/>
      </w:r>
      <w:r w:rsidRPr="00405AF3">
        <w:rPr>
          <w:rFonts w:ascii="Times New Roman" w:eastAsia="Times New Roman" w:hAnsi="Times New Roman" w:cs="Times New Roman"/>
          <w:noProof/>
          <w:color w:val="0000FF"/>
          <w:kern w:val="0"/>
          <w:sz w:val="24"/>
          <w:szCs w:val="24"/>
          <w:lang w:eastAsia="en-NZ"/>
          <w14:ligatures w14:val="none"/>
        </w:rPr>
        <w:drawing>
          <wp:inline distT="0" distB="0" distL="0" distR="0" wp14:anchorId="0B1A8A91" wp14:editId="6DC88E60">
            <wp:extent cx="5731510" cy="3229610"/>
            <wp:effectExtent l="0" t="0" r="2540" b="8890"/>
            <wp:docPr id="1122717402" name="Picture 1">
              <a:hlinkClick xmlns:a="http://schemas.openxmlformats.org/drawingml/2006/main" r:id="rId11" tooltip="&quot;Could a wellbeing economy approach transform the NH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tooltip="&quot;Could a wellbeing economy approach transform the NH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29610"/>
                    </a:xfrm>
                    <a:prstGeom prst="rect">
                      <a:avLst/>
                    </a:prstGeom>
                    <a:noFill/>
                    <a:ln>
                      <a:noFill/>
                    </a:ln>
                  </pic:spPr>
                </pic:pic>
              </a:graphicData>
            </a:graphic>
          </wp:inline>
        </w:drawing>
      </w:r>
    </w:p>
    <w:p w14:paraId="1447002E" w14:textId="77777777" w:rsidR="00405AF3" w:rsidRPr="00405AF3" w:rsidRDefault="00405AF3" w:rsidP="00405AF3">
      <w:pPr>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fldChar w:fldCharType="end"/>
      </w:r>
    </w:p>
    <w:p w14:paraId="02DEAB39" w14:textId="77777777" w:rsidR="00405AF3" w:rsidRPr="00405AF3" w:rsidRDefault="00405AF3" w:rsidP="00405AF3">
      <w:pPr>
        <w:spacing w:before="100" w:beforeAutospacing="1" w:after="100" w:afterAutospacing="1"/>
        <w:outlineLvl w:val="0"/>
        <w:rPr>
          <w:rFonts w:ascii="Times New Roman" w:eastAsia="Times New Roman" w:hAnsi="Times New Roman" w:cs="Times New Roman"/>
          <w:b/>
          <w:bCs/>
          <w:kern w:val="36"/>
          <w:sz w:val="48"/>
          <w:szCs w:val="48"/>
          <w:lang w:eastAsia="en-NZ"/>
          <w14:ligatures w14:val="none"/>
        </w:rPr>
      </w:pPr>
      <w:hyperlink r:id="rId13" w:tooltip="Permalink to Could a wellbeing economy approach transform the NHS?" w:history="1">
        <w:r w:rsidRPr="00405AF3">
          <w:rPr>
            <w:rFonts w:ascii="Times New Roman" w:eastAsia="Times New Roman" w:hAnsi="Times New Roman" w:cs="Times New Roman"/>
            <w:b/>
            <w:bCs/>
            <w:color w:val="0000FF"/>
            <w:kern w:val="36"/>
            <w:sz w:val="48"/>
            <w:szCs w:val="48"/>
            <w:u w:val="single"/>
            <w:lang w:eastAsia="en-NZ"/>
            <w14:ligatures w14:val="none"/>
          </w:rPr>
          <w:t>Could a wellbeing economy approach transform the NHS?</w:t>
        </w:r>
      </w:hyperlink>
    </w:p>
    <w:p w14:paraId="335B5A43" w14:textId="77777777" w:rsidR="00405AF3" w:rsidRPr="00405AF3" w:rsidRDefault="00405AF3" w:rsidP="00405AF3">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29th June 2023</w:t>
      </w:r>
    </w:p>
    <w:p w14:paraId="52A28ACB" w14:textId="77777777" w:rsidR="00405AF3" w:rsidRPr="00405AF3" w:rsidRDefault="00405AF3" w:rsidP="00405AF3">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hyperlink r:id="rId14" w:history="1">
        <w:r w:rsidRPr="00405AF3">
          <w:rPr>
            <w:rFonts w:ascii="Times New Roman" w:eastAsia="Times New Roman" w:hAnsi="Times New Roman" w:cs="Times New Roman"/>
            <w:color w:val="0000FF"/>
            <w:kern w:val="0"/>
            <w:sz w:val="24"/>
            <w:szCs w:val="24"/>
            <w:u w:val="single"/>
            <w:lang w:eastAsia="en-NZ"/>
            <w14:ligatures w14:val="none"/>
          </w:rPr>
          <w:t>Rachel Laurence</w:t>
        </w:r>
      </w:hyperlink>
    </w:p>
    <w:p w14:paraId="40B35F0B" w14:textId="77777777" w:rsidR="00405AF3" w:rsidRPr="00405AF3" w:rsidRDefault="00405AF3" w:rsidP="00405AF3">
      <w:pPr>
        <w:numPr>
          <w:ilvl w:val="0"/>
          <w:numId w:val="3"/>
        </w:numPr>
        <w:spacing w:before="100" w:beforeAutospacing="1" w:after="100" w:afterAutospacing="1"/>
        <w:rPr>
          <w:rFonts w:ascii="Times New Roman" w:eastAsia="Times New Roman" w:hAnsi="Times New Roman" w:cs="Times New Roman"/>
          <w:kern w:val="0"/>
          <w:sz w:val="24"/>
          <w:szCs w:val="24"/>
          <w:lang w:eastAsia="en-NZ"/>
          <w14:ligatures w14:val="none"/>
        </w:rPr>
      </w:pPr>
      <w:hyperlink r:id="rId15" w:history="1">
        <w:r w:rsidRPr="00405AF3">
          <w:rPr>
            <w:rFonts w:ascii="Times New Roman" w:eastAsia="Times New Roman" w:hAnsi="Times New Roman" w:cs="Times New Roman"/>
            <w:color w:val="0000FF"/>
            <w:kern w:val="0"/>
            <w:sz w:val="24"/>
            <w:szCs w:val="24"/>
            <w:u w:val="single"/>
            <w:lang w:eastAsia="en-NZ"/>
            <w14:ligatures w14:val="none"/>
          </w:rPr>
          <w:t>Blog</w:t>
        </w:r>
      </w:hyperlink>
    </w:p>
    <w:p w14:paraId="3C5205E8" w14:textId="77777777" w:rsidR="00405AF3" w:rsidRPr="00405AF3" w:rsidRDefault="00405AF3" w:rsidP="00405AF3">
      <w:pPr>
        <w:spacing w:before="100" w:beforeAutospacing="1" w:after="100" w:afterAutospacing="1"/>
        <w:outlineLvl w:val="3"/>
        <w:rPr>
          <w:rFonts w:ascii="Times New Roman" w:eastAsia="Times New Roman" w:hAnsi="Times New Roman" w:cs="Times New Roman"/>
          <w:b/>
          <w:bCs/>
          <w:kern w:val="0"/>
          <w:sz w:val="24"/>
          <w:szCs w:val="24"/>
          <w:lang w:eastAsia="en-NZ"/>
          <w14:ligatures w14:val="none"/>
        </w:rPr>
      </w:pPr>
      <w:r w:rsidRPr="00405AF3">
        <w:rPr>
          <w:rFonts w:ascii="Times New Roman" w:eastAsia="Times New Roman" w:hAnsi="Times New Roman" w:cs="Times New Roman"/>
          <w:i/>
          <w:iCs/>
          <w:kern w:val="0"/>
          <w:sz w:val="24"/>
          <w:szCs w:val="24"/>
          <w:lang w:eastAsia="en-NZ"/>
          <w14:ligatures w14:val="none"/>
        </w:rPr>
        <w:t xml:space="preserve">In 2022 the NHS set out a bold new system to help deliver joined up health and care services in England. </w:t>
      </w:r>
      <w:r w:rsidRPr="00405AF3">
        <w:rPr>
          <w:rFonts w:ascii="Times New Roman" w:eastAsia="Times New Roman" w:hAnsi="Times New Roman" w:cs="Times New Roman"/>
          <w:b/>
          <w:bCs/>
          <w:i/>
          <w:iCs/>
          <w:kern w:val="0"/>
          <w:sz w:val="24"/>
          <w:szCs w:val="24"/>
          <w:lang w:eastAsia="en-NZ"/>
          <w14:ligatures w14:val="none"/>
        </w:rPr>
        <w:t xml:space="preserve">Rachel Laurence </w:t>
      </w:r>
      <w:r w:rsidRPr="00405AF3">
        <w:rPr>
          <w:rFonts w:ascii="Times New Roman" w:eastAsia="Times New Roman" w:hAnsi="Times New Roman" w:cs="Times New Roman"/>
          <w:i/>
          <w:iCs/>
          <w:kern w:val="0"/>
          <w:sz w:val="24"/>
          <w:szCs w:val="24"/>
          <w:lang w:eastAsia="en-NZ"/>
          <w14:ligatures w14:val="none"/>
        </w:rPr>
        <w:t>explains how Centre for Thriving Places is supporting this project across key areas of its work.</w:t>
      </w:r>
    </w:p>
    <w:p w14:paraId="31B9781D" w14:textId="77777777" w:rsidR="00405AF3" w:rsidRPr="00405AF3" w:rsidRDefault="00405AF3" w:rsidP="00405AF3">
      <w:pPr>
        <w:spacing w:before="100" w:beforeAutospacing="1" w:after="100" w:afterAutospacing="1"/>
        <w:outlineLvl w:val="3"/>
        <w:rPr>
          <w:rFonts w:ascii="Times New Roman" w:eastAsia="Times New Roman" w:hAnsi="Times New Roman" w:cs="Times New Roman"/>
          <w:b/>
          <w:bCs/>
          <w:kern w:val="0"/>
          <w:sz w:val="24"/>
          <w:szCs w:val="24"/>
          <w:lang w:eastAsia="en-NZ"/>
          <w14:ligatures w14:val="none"/>
        </w:rPr>
      </w:pPr>
      <w:r w:rsidRPr="00405AF3">
        <w:rPr>
          <w:rFonts w:ascii="Times New Roman" w:eastAsia="Times New Roman" w:hAnsi="Times New Roman" w:cs="Times New Roman"/>
          <w:color w:val="000000"/>
          <w:kern w:val="0"/>
          <w:sz w:val="24"/>
          <w:szCs w:val="24"/>
          <w:lang w:eastAsia="en-NZ"/>
          <w14:ligatures w14:val="none"/>
        </w:rPr>
        <w:lastRenderedPageBreak/>
        <w:t xml:space="preserve">From July 2022, 42 new statutory partnerships, known as </w:t>
      </w:r>
      <w:hyperlink r:id="rId16" w:history="1">
        <w:r w:rsidRPr="00405AF3">
          <w:rPr>
            <w:rFonts w:ascii="Times New Roman" w:eastAsia="Times New Roman" w:hAnsi="Times New Roman" w:cs="Times New Roman"/>
            <w:color w:val="000000"/>
            <w:kern w:val="0"/>
            <w:sz w:val="24"/>
            <w:szCs w:val="24"/>
            <w:u w:val="single"/>
            <w:lang w:eastAsia="en-NZ"/>
            <w14:ligatures w14:val="none"/>
          </w:rPr>
          <w:t>integrated care systems</w:t>
        </w:r>
      </w:hyperlink>
      <w:r w:rsidRPr="00405AF3">
        <w:rPr>
          <w:rFonts w:ascii="Times New Roman" w:eastAsia="Times New Roman" w:hAnsi="Times New Roman" w:cs="Times New Roman"/>
          <w:color w:val="000000"/>
          <w:kern w:val="0"/>
          <w:sz w:val="24"/>
          <w:szCs w:val="24"/>
          <w:lang w:eastAsia="en-NZ"/>
          <w14:ligatures w14:val="none"/>
        </w:rPr>
        <w:t xml:space="preserve"> (ICS) have been in place in England. These new bodies encompass an integrated care partnership (which brings together partners responsible for improving care, health and wellbeing) and an integrated care board (which manages the NHS budget and commissions health services). Within each ICS, broad partnerships across places and regions help to join up approaches within the complex systems that impact on our health.  </w:t>
      </w:r>
    </w:p>
    <w:p w14:paraId="3341BA6A" w14:textId="77777777" w:rsidR="00405AF3" w:rsidRPr="00405AF3" w:rsidRDefault="00405AF3" w:rsidP="00405AF3">
      <w:p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color w:val="000000"/>
          <w:kern w:val="0"/>
          <w:sz w:val="24"/>
          <w:szCs w:val="24"/>
          <w:lang w:eastAsia="en-NZ"/>
          <w14:ligatures w14:val="none"/>
        </w:rPr>
        <w:t>The Thriving Places Index (TPI) is the UK’s leading local wellbeing economy framework, which provides a way of seeing, understanding and bringing together traditionally separate policy areas including health, climate, economy, communities and transport. The index, with its robust system of indicators can help align the strategic goals of ICS partnerships.</w:t>
      </w:r>
    </w:p>
    <w:p w14:paraId="7B995217" w14:textId="77777777" w:rsidR="00405AF3" w:rsidRPr="00405AF3" w:rsidRDefault="00405AF3" w:rsidP="00405AF3">
      <w:p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color w:val="000000"/>
          <w:kern w:val="0"/>
          <w:sz w:val="24"/>
          <w:szCs w:val="24"/>
          <w:lang w:eastAsia="en-NZ"/>
          <w14:ligatures w14:val="none"/>
        </w:rPr>
        <w:t>CTP is developing a body of work to harness the exciting opportunity ICS partnerships offer – to join up vision, strategy, resources and programme design, using a transparent data-informed process. This could transform care and rewire local systems, fit for the challenges of the 21st century and ready to deliver equitable and sustainable outcomes. </w:t>
      </w:r>
    </w:p>
    <w:p w14:paraId="43EF378A" w14:textId="77777777" w:rsidR="00405AF3" w:rsidRPr="00405AF3" w:rsidRDefault="00405AF3" w:rsidP="00405AF3">
      <w:p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 xml:space="preserve">One of our partners, </w:t>
      </w:r>
      <w:hyperlink r:id="rId17" w:history="1">
        <w:r w:rsidRPr="00405AF3">
          <w:rPr>
            <w:rFonts w:ascii="Times New Roman" w:eastAsia="Times New Roman" w:hAnsi="Times New Roman" w:cs="Times New Roman"/>
            <w:color w:val="0000FF"/>
            <w:kern w:val="0"/>
            <w:sz w:val="24"/>
            <w:szCs w:val="24"/>
            <w:u w:val="single"/>
            <w:lang w:eastAsia="en-NZ"/>
            <w14:ligatures w14:val="none"/>
          </w:rPr>
          <w:t>Mid Essex ICS Alliance</w:t>
        </w:r>
      </w:hyperlink>
      <w:r w:rsidRPr="00405AF3">
        <w:rPr>
          <w:rFonts w:ascii="Times New Roman" w:eastAsia="Times New Roman" w:hAnsi="Times New Roman" w:cs="Times New Roman"/>
          <w:kern w:val="0"/>
          <w:sz w:val="24"/>
          <w:szCs w:val="24"/>
          <w:lang w:eastAsia="en-NZ"/>
          <w14:ligatures w14:val="none"/>
        </w:rPr>
        <w:t>, says: ‘We are committed to the Mid Essex ICS Alliance driving systemic change in how the wider economy works to address health inequalities and build better health outcomes. Tools like the TPI offer a robust, data driven approach, making it easy for different parts of the system to connect and take a holistic view of our strengths and needs. This process will help us to collectively align and direct our resources to address the important wider determinants of health.’</w:t>
      </w:r>
    </w:p>
    <w:p w14:paraId="4B327449" w14:textId="77777777" w:rsidR="00405AF3" w:rsidRPr="00405AF3" w:rsidRDefault="00405AF3" w:rsidP="00405AF3">
      <w:p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 </w:t>
      </w:r>
      <w:r w:rsidRPr="00405AF3">
        <w:rPr>
          <w:rFonts w:ascii="Times New Roman" w:eastAsia="Times New Roman" w:hAnsi="Times New Roman" w:cs="Times New Roman"/>
          <w:b/>
          <w:bCs/>
          <w:kern w:val="0"/>
          <w:sz w:val="24"/>
          <w:szCs w:val="24"/>
          <w:lang w:eastAsia="en-NZ"/>
          <w14:ligatures w14:val="none"/>
        </w:rPr>
        <w:t>CTP is currently offering support across seven key areas of ICS work </w:t>
      </w:r>
    </w:p>
    <w:p w14:paraId="69A3F579" w14:textId="77777777" w:rsidR="00405AF3" w:rsidRPr="00405AF3" w:rsidRDefault="00405AF3" w:rsidP="00405AF3">
      <w:pPr>
        <w:numPr>
          <w:ilvl w:val="0"/>
          <w:numId w:val="4"/>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 xml:space="preserve">    </w:t>
      </w:r>
      <w:r w:rsidRPr="00405AF3">
        <w:rPr>
          <w:rFonts w:ascii="Times New Roman" w:eastAsia="Times New Roman" w:hAnsi="Times New Roman" w:cs="Times New Roman"/>
          <w:b/>
          <w:bCs/>
          <w:kern w:val="0"/>
          <w:sz w:val="24"/>
          <w:szCs w:val="24"/>
          <w:lang w:eastAsia="en-NZ"/>
          <w14:ligatures w14:val="none"/>
        </w:rPr>
        <w:t xml:space="preserve">Bespoke Thriving Place/Wellbeing Framework – </w:t>
      </w:r>
      <w:r w:rsidRPr="00405AF3">
        <w:rPr>
          <w:rFonts w:ascii="Times New Roman" w:eastAsia="Times New Roman" w:hAnsi="Times New Roman" w:cs="Times New Roman"/>
          <w:kern w:val="0"/>
          <w:sz w:val="24"/>
          <w:szCs w:val="24"/>
          <w:lang w:eastAsia="en-NZ"/>
          <w14:ligatures w14:val="none"/>
        </w:rPr>
        <w:t>helping ICS Partnerships develop a localised and tailored version of the TPI framework, building on our national indicator set and presenting these outcomes against local priorities.</w:t>
      </w:r>
    </w:p>
    <w:p w14:paraId="520D24CF" w14:textId="77777777" w:rsidR="00405AF3" w:rsidRPr="00405AF3" w:rsidRDefault="00405AF3" w:rsidP="00405AF3">
      <w:pPr>
        <w:numPr>
          <w:ilvl w:val="0"/>
          <w:numId w:val="4"/>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 xml:space="preserve">    </w:t>
      </w:r>
      <w:r w:rsidRPr="00405AF3">
        <w:rPr>
          <w:rFonts w:ascii="Times New Roman" w:eastAsia="Times New Roman" w:hAnsi="Times New Roman" w:cs="Times New Roman"/>
          <w:b/>
          <w:bCs/>
          <w:kern w:val="0"/>
          <w:sz w:val="24"/>
          <w:szCs w:val="24"/>
          <w:lang w:eastAsia="en-NZ"/>
          <w14:ligatures w14:val="none"/>
        </w:rPr>
        <w:t xml:space="preserve">Data collection support – </w:t>
      </w:r>
      <w:r w:rsidRPr="00405AF3">
        <w:rPr>
          <w:rFonts w:ascii="Times New Roman" w:eastAsia="Times New Roman" w:hAnsi="Times New Roman" w:cs="Times New Roman"/>
          <w:kern w:val="0"/>
          <w:sz w:val="24"/>
          <w:szCs w:val="24"/>
          <w:lang w:eastAsia="en-NZ"/>
          <w14:ligatures w14:val="none"/>
        </w:rPr>
        <w:t>to develop a plan for monitoring data against the framework, drawing in TPI annual data alongside sources within ICS geography.</w:t>
      </w:r>
    </w:p>
    <w:p w14:paraId="5D49EAB8" w14:textId="77777777" w:rsidR="00405AF3" w:rsidRPr="00405AF3" w:rsidRDefault="00405AF3" w:rsidP="00405AF3">
      <w:pPr>
        <w:numPr>
          <w:ilvl w:val="0"/>
          <w:numId w:val="4"/>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 xml:space="preserve">    </w:t>
      </w:r>
      <w:r w:rsidRPr="00405AF3">
        <w:rPr>
          <w:rFonts w:ascii="Times New Roman" w:eastAsia="Times New Roman" w:hAnsi="Times New Roman" w:cs="Times New Roman"/>
          <w:b/>
          <w:bCs/>
          <w:kern w:val="0"/>
          <w:sz w:val="24"/>
          <w:szCs w:val="24"/>
          <w:lang w:eastAsia="en-NZ"/>
          <w14:ligatures w14:val="none"/>
        </w:rPr>
        <w:t xml:space="preserve">Integration and implementation strategy to embed a wellbeing economy approach </w:t>
      </w:r>
      <w:r w:rsidRPr="00405AF3">
        <w:rPr>
          <w:rFonts w:ascii="Times New Roman" w:eastAsia="Times New Roman" w:hAnsi="Times New Roman" w:cs="Times New Roman"/>
          <w:kern w:val="0"/>
          <w:sz w:val="24"/>
          <w:szCs w:val="24"/>
          <w:lang w:eastAsia="en-NZ"/>
          <w14:ligatures w14:val="none"/>
        </w:rPr>
        <w:t>– supporting ICS partners to identify where the framework can shape decisions, intervention and connections across services. </w:t>
      </w:r>
    </w:p>
    <w:p w14:paraId="77BE86A8" w14:textId="77777777" w:rsidR="00405AF3" w:rsidRPr="00405AF3" w:rsidRDefault="00405AF3" w:rsidP="00405AF3">
      <w:pPr>
        <w:numPr>
          <w:ilvl w:val="0"/>
          <w:numId w:val="4"/>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 xml:space="preserve">  </w:t>
      </w:r>
      <w:r w:rsidRPr="00405AF3">
        <w:rPr>
          <w:rFonts w:ascii="Times New Roman" w:eastAsia="Times New Roman" w:hAnsi="Times New Roman" w:cs="Times New Roman"/>
          <w:b/>
          <w:bCs/>
          <w:kern w:val="0"/>
          <w:sz w:val="24"/>
          <w:szCs w:val="24"/>
          <w:lang w:eastAsia="en-NZ"/>
          <w14:ligatures w14:val="none"/>
        </w:rPr>
        <w:t xml:space="preserve">Building cross-sector/cross-policy-area budget and intervention approaches – </w:t>
      </w:r>
      <w:r w:rsidRPr="00405AF3">
        <w:rPr>
          <w:rFonts w:ascii="Times New Roman" w:eastAsia="Times New Roman" w:hAnsi="Times New Roman" w:cs="Times New Roman"/>
          <w:kern w:val="0"/>
          <w:sz w:val="24"/>
          <w:szCs w:val="24"/>
          <w:lang w:eastAsia="en-NZ"/>
          <w14:ligatures w14:val="none"/>
        </w:rPr>
        <w:t>using the wellbeing economy framework approach to bring together stakeholders from council departments, health and voluntary and community sector partners and other bodies to facilitate pooling of budgets, resources, impact measurement and programme design.</w:t>
      </w:r>
    </w:p>
    <w:p w14:paraId="6340D7DC" w14:textId="77777777" w:rsidR="00405AF3" w:rsidRPr="00405AF3" w:rsidRDefault="00405AF3" w:rsidP="00405AF3">
      <w:pPr>
        <w:numPr>
          <w:ilvl w:val="0"/>
          <w:numId w:val="4"/>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 xml:space="preserve">    </w:t>
      </w:r>
      <w:r w:rsidRPr="00405AF3">
        <w:rPr>
          <w:rFonts w:ascii="Times New Roman" w:eastAsia="Times New Roman" w:hAnsi="Times New Roman" w:cs="Times New Roman"/>
          <w:b/>
          <w:bCs/>
          <w:kern w:val="0"/>
          <w:sz w:val="24"/>
          <w:szCs w:val="24"/>
          <w:lang w:eastAsia="en-NZ"/>
          <w14:ligatures w14:val="none"/>
        </w:rPr>
        <w:t xml:space="preserve">Thriving Place/Wellbeing Economy Narrative and Communication – </w:t>
      </w:r>
      <w:r w:rsidRPr="00405AF3">
        <w:rPr>
          <w:rFonts w:ascii="Times New Roman" w:eastAsia="Times New Roman" w:hAnsi="Times New Roman" w:cs="Times New Roman"/>
          <w:kern w:val="0"/>
          <w:sz w:val="24"/>
          <w:szCs w:val="24"/>
          <w:lang w:eastAsia="en-NZ"/>
          <w14:ligatures w14:val="none"/>
        </w:rPr>
        <w:t>supporting the wellbeing economy narrative that accompanies such an outcomes framework, a guide to its role in economic recovery and a visual representation of the indicator set.</w:t>
      </w:r>
    </w:p>
    <w:p w14:paraId="49A60470" w14:textId="77777777" w:rsidR="00405AF3" w:rsidRPr="00405AF3" w:rsidRDefault="00405AF3" w:rsidP="00405AF3">
      <w:pPr>
        <w:numPr>
          <w:ilvl w:val="0"/>
          <w:numId w:val="4"/>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 xml:space="preserve">  </w:t>
      </w:r>
      <w:r w:rsidRPr="00405AF3">
        <w:rPr>
          <w:rFonts w:ascii="Times New Roman" w:eastAsia="Times New Roman" w:hAnsi="Times New Roman" w:cs="Times New Roman"/>
          <w:b/>
          <w:bCs/>
          <w:kern w:val="0"/>
          <w:sz w:val="24"/>
          <w:szCs w:val="24"/>
          <w:lang w:eastAsia="en-NZ"/>
          <w14:ligatures w14:val="none"/>
        </w:rPr>
        <w:t xml:space="preserve">Outcomes based commissioning design – </w:t>
      </w:r>
      <w:r w:rsidRPr="00405AF3">
        <w:rPr>
          <w:rFonts w:ascii="Times New Roman" w:eastAsia="Times New Roman" w:hAnsi="Times New Roman" w:cs="Times New Roman"/>
          <w:kern w:val="0"/>
          <w:sz w:val="24"/>
          <w:szCs w:val="24"/>
          <w:lang w:eastAsia="en-NZ"/>
          <w14:ligatures w14:val="none"/>
        </w:rPr>
        <w:t>helping develop and design approaches that enable partnerships to fund shared outcomes. </w:t>
      </w:r>
    </w:p>
    <w:p w14:paraId="01051DA6" w14:textId="77777777" w:rsidR="00405AF3" w:rsidRPr="00405AF3" w:rsidRDefault="00405AF3" w:rsidP="00405AF3">
      <w:pPr>
        <w:numPr>
          <w:ilvl w:val="0"/>
          <w:numId w:val="4"/>
        </w:num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 xml:space="preserve">  </w:t>
      </w:r>
      <w:r w:rsidRPr="00405AF3">
        <w:rPr>
          <w:rFonts w:ascii="Times New Roman" w:eastAsia="Times New Roman" w:hAnsi="Times New Roman" w:cs="Times New Roman"/>
          <w:b/>
          <w:bCs/>
          <w:kern w:val="0"/>
          <w:sz w:val="24"/>
          <w:szCs w:val="24"/>
          <w:lang w:eastAsia="en-NZ"/>
          <w14:ligatures w14:val="none"/>
        </w:rPr>
        <w:t xml:space="preserve">Anchor Network approach in partnership with CLES – </w:t>
      </w:r>
      <w:r w:rsidRPr="00405AF3">
        <w:rPr>
          <w:rFonts w:ascii="Times New Roman" w:eastAsia="Times New Roman" w:hAnsi="Times New Roman" w:cs="Times New Roman"/>
          <w:kern w:val="0"/>
          <w:sz w:val="24"/>
          <w:szCs w:val="24"/>
          <w:lang w:eastAsia="en-NZ"/>
          <w14:ligatures w14:val="none"/>
        </w:rPr>
        <w:t xml:space="preserve">we work closely with CLES¹, the UK’s leading experts on anchor network development and community wealth building, who specialise in developing progressive anchor practice in health. </w:t>
      </w:r>
      <w:hyperlink r:id="rId18" w:history="1">
        <w:r w:rsidRPr="00405AF3">
          <w:rPr>
            <w:rFonts w:ascii="Times New Roman" w:eastAsia="Times New Roman" w:hAnsi="Times New Roman" w:cs="Times New Roman"/>
            <w:color w:val="0000FF"/>
            <w:kern w:val="0"/>
            <w:sz w:val="24"/>
            <w:szCs w:val="24"/>
            <w:u w:val="single"/>
            <w:lang w:eastAsia="en-NZ"/>
            <w14:ligatures w14:val="none"/>
          </w:rPr>
          <w:t>Their 2019 research</w:t>
        </w:r>
      </w:hyperlink>
      <w:r w:rsidRPr="00405AF3">
        <w:rPr>
          <w:rFonts w:ascii="Times New Roman" w:eastAsia="Times New Roman" w:hAnsi="Times New Roman" w:cs="Times New Roman"/>
          <w:kern w:val="0"/>
          <w:sz w:val="24"/>
          <w:szCs w:val="24"/>
          <w:lang w:eastAsia="en-NZ"/>
          <w14:ligatures w14:val="none"/>
        </w:rPr>
        <w:t xml:space="preserve"> exploring the role of the NHS as an anchor institution in addressing the wider determinants of health, influenced the recent commitment in the </w:t>
      </w:r>
      <w:r w:rsidRPr="00405AF3">
        <w:rPr>
          <w:rFonts w:ascii="Times New Roman" w:eastAsia="Times New Roman" w:hAnsi="Times New Roman" w:cs="Times New Roman"/>
          <w:kern w:val="0"/>
          <w:sz w:val="24"/>
          <w:szCs w:val="24"/>
          <w:lang w:eastAsia="en-NZ"/>
          <w14:ligatures w14:val="none"/>
        </w:rPr>
        <w:lastRenderedPageBreak/>
        <w:t xml:space="preserve">NHS Long Term Plan to accelerate good anchor practice across the English NHS. Their recently published </w:t>
      </w:r>
      <w:hyperlink r:id="rId19" w:history="1">
        <w:r w:rsidRPr="00405AF3">
          <w:rPr>
            <w:rFonts w:ascii="Times New Roman" w:eastAsia="Times New Roman" w:hAnsi="Times New Roman" w:cs="Times New Roman"/>
            <w:color w:val="0000FF"/>
            <w:kern w:val="0"/>
            <w:sz w:val="24"/>
            <w:szCs w:val="24"/>
            <w:u w:val="single"/>
            <w:lang w:eastAsia="en-NZ"/>
            <w14:ligatures w14:val="none"/>
          </w:rPr>
          <w:t>new framework</w:t>
        </w:r>
      </w:hyperlink>
      <w:r w:rsidRPr="00405AF3">
        <w:rPr>
          <w:rFonts w:ascii="Times New Roman" w:eastAsia="Times New Roman" w:hAnsi="Times New Roman" w:cs="Times New Roman"/>
          <w:kern w:val="0"/>
          <w:sz w:val="24"/>
          <w:szCs w:val="24"/>
          <w:lang w:eastAsia="en-NZ"/>
          <w14:ligatures w14:val="none"/>
        </w:rPr>
        <w:t xml:space="preserve"> for ICPs to drive a community wealth building approach through procurement, employment and land complements the CTP Wellbeing Economy support outlined above, and are working with them to dovetail the two offers.</w:t>
      </w:r>
    </w:p>
    <w:p w14:paraId="3C4F1E6E" w14:textId="77777777" w:rsidR="00405AF3" w:rsidRPr="00405AF3" w:rsidRDefault="00405AF3" w:rsidP="00405AF3">
      <w:p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kern w:val="0"/>
          <w:sz w:val="24"/>
          <w:szCs w:val="24"/>
          <w:lang w:eastAsia="en-NZ"/>
          <w14:ligatures w14:val="none"/>
        </w:rPr>
        <w:t>We are excited about exploring the ways in which ICS Partnerships can innovate to shift wider outcomes in their local economic systems, and how these interventions can be tracked and learned from. As we develop new projects, we are keen to hear from ICS partnerships and those working with them interested in finding out how a wellbeing economy framework can provide a practical and robust structure for the work the ICS systems are setting out to achieve.</w:t>
      </w:r>
    </w:p>
    <w:p w14:paraId="424F337C" w14:textId="77777777" w:rsidR="00405AF3" w:rsidRPr="00405AF3" w:rsidRDefault="00405AF3" w:rsidP="00405AF3">
      <w:p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i/>
          <w:iCs/>
          <w:kern w:val="0"/>
          <w:sz w:val="24"/>
          <w:szCs w:val="24"/>
          <w:lang w:eastAsia="en-NZ"/>
          <w14:ligatures w14:val="none"/>
        </w:rPr>
        <w:t xml:space="preserve">1 CTP works closely with a range of excellent partners active in the place-based new economy / wellbeing economy </w:t>
      </w:r>
      <w:proofErr w:type="gramStart"/>
      <w:r w:rsidRPr="00405AF3">
        <w:rPr>
          <w:rFonts w:ascii="Times New Roman" w:eastAsia="Times New Roman" w:hAnsi="Times New Roman" w:cs="Times New Roman"/>
          <w:i/>
          <w:iCs/>
          <w:kern w:val="0"/>
          <w:sz w:val="24"/>
          <w:szCs w:val="24"/>
          <w:lang w:eastAsia="en-NZ"/>
          <w14:ligatures w14:val="none"/>
        </w:rPr>
        <w:t>/  inclusive</w:t>
      </w:r>
      <w:proofErr w:type="gramEnd"/>
      <w:r w:rsidRPr="00405AF3">
        <w:rPr>
          <w:rFonts w:ascii="Times New Roman" w:eastAsia="Times New Roman" w:hAnsi="Times New Roman" w:cs="Times New Roman"/>
          <w:i/>
          <w:iCs/>
          <w:kern w:val="0"/>
          <w:sz w:val="24"/>
          <w:szCs w:val="24"/>
          <w:lang w:eastAsia="en-NZ"/>
          <w14:ligatures w14:val="none"/>
        </w:rPr>
        <w:t xml:space="preserve"> economy space. One of our leading partners is CLES, the Centre for Local Economic Strategies. Just as CTP has been approached by emerging ICS partnerships because of the interest in the scope of our Wellbeing Framework offer for ICS systems, CLES has found an increasing level of interest from ICS partnerships in how their cutting edge work on building anchor networks of place based institutions, who collectively can direct their wider power as procurers, employers, land-owners and conveners, to drive forward system wide changes in a place based economy, can be applied at ICS system level. We’re working with CLES to bring together the two components of our respective experience and background in supporting ICS </w:t>
      </w:r>
      <w:proofErr w:type="gramStart"/>
      <w:r w:rsidRPr="00405AF3">
        <w:rPr>
          <w:rFonts w:ascii="Times New Roman" w:eastAsia="Times New Roman" w:hAnsi="Times New Roman" w:cs="Times New Roman"/>
          <w:i/>
          <w:iCs/>
          <w:kern w:val="0"/>
          <w:sz w:val="24"/>
          <w:szCs w:val="24"/>
          <w:lang w:eastAsia="en-NZ"/>
          <w14:ligatures w14:val="none"/>
        </w:rPr>
        <w:t>partnerships,  exploring</w:t>
      </w:r>
      <w:proofErr w:type="gramEnd"/>
      <w:r w:rsidRPr="00405AF3">
        <w:rPr>
          <w:rFonts w:ascii="Times New Roman" w:eastAsia="Times New Roman" w:hAnsi="Times New Roman" w:cs="Times New Roman"/>
          <w:i/>
          <w:iCs/>
          <w:kern w:val="0"/>
          <w:sz w:val="24"/>
          <w:szCs w:val="24"/>
          <w:lang w:eastAsia="en-NZ"/>
          <w14:ligatures w14:val="none"/>
        </w:rPr>
        <w:t xml:space="preserve"> joint work in 2023 within the Black Country, South Yorkshire and the North East in particular.</w:t>
      </w:r>
    </w:p>
    <w:p w14:paraId="7376F2F6" w14:textId="77777777" w:rsidR="00405AF3" w:rsidRPr="00405AF3" w:rsidRDefault="00405AF3" w:rsidP="00405AF3">
      <w:pPr>
        <w:spacing w:before="100" w:beforeAutospacing="1" w:after="100" w:afterAutospacing="1"/>
        <w:rPr>
          <w:rFonts w:ascii="Times New Roman" w:eastAsia="Times New Roman" w:hAnsi="Times New Roman" w:cs="Times New Roman"/>
          <w:kern w:val="0"/>
          <w:sz w:val="24"/>
          <w:szCs w:val="24"/>
          <w:lang w:eastAsia="en-NZ"/>
          <w14:ligatures w14:val="none"/>
        </w:rPr>
      </w:pPr>
      <w:r w:rsidRPr="00405AF3">
        <w:rPr>
          <w:rFonts w:ascii="Times New Roman" w:eastAsia="Times New Roman" w:hAnsi="Times New Roman" w:cs="Times New Roman"/>
          <w:i/>
          <w:iCs/>
          <w:kern w:val="0"/>
          <w:sz w:val="24"/>
          <w:szCs w:val="24"/>
          <w:lang w:eastAsia="en-NZ"/>
          <w14:ligatures w14:val="none"/>
        </w:rPr>
        <w:t xml:space="preserve">For more information, please contact us on </w:t>
      </w:r>
      <w:hyperlink r:id="rId20" w:history="1">
        <w:r w:rsidRPr="00405AF3">
          <w:rPr>
            <w:rFonts w:ascii="Times New Roman" w:eastAsia="Times New Roman" w:hAnsi="Times New Roman" w:cs="Times New Roman"/>
            <w:i/>
            <w:iCs/>
            <w:color w:val="0000FF"/>
            <w:kern w:val="0"/>
            <w:sz w:val="24"/>
            <w:szCs w:val="24"/>
            <w:u w:val="single"/>
            <w:lang w:eastAsia="en-NZ"/>
            <w14:ligatures w14:val="none"/>
          </w:rPr>
          <w:t>hello@centreforthrivingplaces.org</w:t>
        </w:r>
      </w:hyperlink>
      <w:r w:rsidRPr="00405AF3">
        <w:rPr>
          <w:rFonts w:ascii="Times New Roman" w:eastAsia="Times New Roman" w:hAnsi="Times New Roman" w:cs="Times New Roman"/>
          <w:kern w:val="0"/>
          <w:sz w:val="24"/>
          <w:szCs w:val="24"/>
          <w:lang w:eastAsia="en-NZ"/>
          <w14:ligatures w14:val="none"/>
        </w:rPr>
        <w:t xml:space="preserve"> </w:t>
      </w:r>
      <w:r w:rsidRPr="00405AF3">
        <w:rPr>
          <w:rFonts w:ascii="Times New Roman" w:eastAsia="Times New Roman" w:hAnsi="Times New Roman" w:cs="Times New Roman"/>
          <w:i/>
          <w:iCs/>
          <w:kern w:val="0"/>
          <w:sz w:val="24"/>
          <w:szCs w:val="24"/>
          <w:lang w:eastAsia="en-NZ"/>
          <w14:ligatures w14:val="none"/>
        </w:rPr>
        <w:t>and look out for a blog next month sharing more details of our work across Mid Essex.</w:t>
      </w:r>
    </w:p>
    <w:p w14:paraId="74E19316" w14:textId="77777777" w:rsidR="0011082B" w:rsidRDefault="0011082B"/>
    <w:sectPr w:rsidR="00110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86"/>
    <w:multiLevelType w:val="multilevel"/>
    <w:tmpl w:val="D578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923C1"/>
    <w:multiLevelType w:val="multilevel"/>
    <w:tmpl w:val="D49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558A8"/>
    <w:multiLevelType w:val="multilevel"/>
    <w:tmpl w:val="CA244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792DC0"/>
    <w:multiLevelType w:val="multilevel"/>
    <w:tmpl w:val="99B4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658662">
    <w:abstractNumId w:val="1"/>
  </w:num>
  <w:num w:numId="2" w16cid:durableId="1427383046">
    <w:abstractNumId w:val="3"/>
  </w:num>
  <w:num w:numId="3" w16cid:durableId="1578173344">
    <w:abstractNumId w:val="0"/>
  </w:num>
  <w:num w:numId="4" w16cid:durableId="773138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4E21702-50C0-467C-A037-133C187FB180}"/>
    <w:docVar w:name="dgnword-eventsink" w:val="300038320"/>
  </w:docVars>
  <w:rsids>
    <w:rsidRoot w:val="00405AF3"/>
    <w:rsid w:val="0011082B"/>
    <w:rsid w:val="001278D8"/>
    <w:rsid w:val="001334EF"/>
    <w:rsid w:val="00405AF3"/>
    <w:rsid w:val="004A3FBE"/>
    <w:rsid w:val="007C58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0F59"/>
  <w15:chartTrackingRefBased/>
  <w15:docId w15:val="{67B6D26F-2130-4DF6-85C3-BA2B78DA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2"/>
        <w:szCs w:val="22"/>
        <w:lang w:val="en-NZ"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EF"/>
    <w:pPr>
      <w:spacing w:after="0"/>
    </w:pPr>
  </w:style>
  <w:style w:type="paragraph" w:styleId="Heading1">
    <w:name w:val="heading 1"/>
    <w:basedOn w:val="Normal"/>
    <w:link w:val="Heading1Char"/>
    <w:uiPriority w:val="9"/>
    <w:qFormat/>
    <w:rsid w:val="00405AF3"/>
    <w:pPr>
      <w:spacing w:before="100" w:beforeAutospacing="1" w:after="100" w:afterAutospacing="1"/>
      <w:outlineLvl w:val="0"/>
    </w:pPr>
    <w:rPr>
      <w:rFonts w:ascii="Times New Roman" w:eastAsia="Times New Roman" w:hAnsi="Times New Roman" w:cs="Times New Roman"/>
      <w:b/>
      <w:bCs/>
      <w:kern w:val="36"/>
      <w:sz w:val="48"/>
      <w:szCs w:val="48"/>
      <w:lang w:eastAsia="en-NZ"/>
      <w14:ligatures w14:val="none"/>
    </w:rPr>
  </w:style>
  <w:style w:type="paragraph" w:styleId="Heading4">
    <w:name w:val="heading 4"/>
    <w:basedOn w:val="Normal"/>
    <w:link w:val="Heading4Char"/>
    <w:uiPriority w:val="9"/>
    <w:qFormat/>
    <w:rsid w:val="00405AF3"/>
    <w:pPr>
      <w:spacing w:before="100" w:beforeAutospacing="1" w:after="100" w:afterAutospacing="1"/>
      <w:outlineLvl w:val="3"/>
    </w:pPr>
    <w:rPr>
      <w:rFonts w:ascii="Times New Roman" w:eastAsia="Times New Roman" w:hAnsi="Times New Roman" w:cs="Times New Roman"/>
      <w:b/>
      <w:bCs/>
      <w:kern w:val="0"/>
      <w:sz w:val="24"/>
      <w:szCs w:val="24"/>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4EF"/>
    <w:pPr>
      <w:tabs>
        <w:tab w:val="center" w:pos="4680"/>
        <w:tab w:val="right" w:pos="9360"/>
      </w:tabs>
    </w:pPr>
  </w:style>
  <w:style w:type="character" w:customStyle="1" w:styleId="HeaderChar">
    <w:name w:val="Header Char"/>
    <w:basedOn w:val="DefaultParagraphFont"/>
    <w:link w:val="Header"/>
    <w:uiPriority w:val="99"/>
    <w:rsid w:val="001334EF"/>
    <w:rPr>
      <w:rFonts w:ascii="Montserrat" w:hAnsi="Montserrat"/>
      <w:sz w:val="24"/>
    </w:rPr>
  </w:style>
  <w:style w:type="paragraph" w:styleId="Footer">
    <w:name w:val="footer"/>
    <w:basedOn w:val="Normal"/>
    <w:link w:val="FooterChar"/>
    <w:uiPriority w:val="99"/>
    <w:unhideWhenUsed/>
    <w:rsid w:val="001334EF"/>
    <w:pPr>
      <w:tabs>
        <w:tab w:val="center" w:pos="4680"/>
        <w:tab w:val="right" w:pos="9360"/>
      </w:tabs>
    </w:pPr>
  </w:style>
  <w:style w:type="character" w:customStyle="1" w:styleId="FooterChar">
    <w:name w:val="Footer Char"/>
    <w:basedOn w:val="DefaultParagraphFont"/>
    <w:link w:val="Footer"/>
    <w:uiPriority w:val="99"/>
    <w:rsid w:val="001334EF"/>
    <w:rPr>
      <w:rFonts w:ascii="Montserrat" w:hAnsi="Montserrat"/>
      <w:sz w:val="24"/>
    </w:rPr>
  </w:style>
  <w:style w:type="paragraph" w:styleId="NormalWeb">
    <w:name w:val="Normal (Web)"/>
    <w:basedOn w:val="Normal"/>
    <w:uiPriority w:val="99"/>
    <w:unhideWhenUsed/>
    <w:rsid w:val="001334EF"/>
    <w:pPr>
      <w:spacing w:before="100" w:beforeAutospacing="1" w:after="100" w:afterAutospacing="1"/>
    </w:pPr>
    <w:rPr>
      <w:rFonts w:ascii="Times New Roman" w:eastAsia="Times New Roman" w:hAnsi="Times New Roman" w:cs="Times New Roman"/>
      <w:szCs w:val="24"/>
      <w:lang w:eastAsia="en-NZ"/>
    </w:rPr>
  </w:style>
  <w:style w:type="paragraph" w:styleId="BalloonText">
    <w:name w:val="Balloon Text"/>
    <w:basedOn w:val="Normal"/>
    <w:link w:val="BalloonTextChar"/>
    <w:uiPriority w:val="99"/>
    <w:semiHidden/>
    <w:unhideWhenUsed/>
    <w:rsid w:val="001334EF"/>
    <w:rPr>
      <w:rFonts w:ascii="Tahoma" w:hAnsi="Tahoma" w:cs="Tahoma"/>
      <w:sz w:val="16"/>
      <w:szCs w:val="16"/>
    </w:rPr>
  </w:style>
  <w:style w:type="character" w:customStyle="1" w:styleId="BalloonTextChar">
    <w:name w:val="Balloon Text Char"/>
    <w:basedOn w:val="DefaultParagraphFont"/>
    <w:link w:val="BalloonText"/>
    <w:uiPriority w:val="99"/>
    <w:semiHidden/>
    <w:rsid w:val="001334EF"/>
    <w:rPr>
      <w:rFonts w:ascii="Tahoma" w:hAnsi="Tahoma" w:cs="Tahoma"/>
      <w:sz w:val="16"/>
      <w:szCs w:val="16"/>
    </w:rPr>
  </w:style>
  <w:style w:type="table" w:styleId="TableGrid">
    <w:name w:val="Table Grid"/>
    <w:basedOn w:val="TableNormal"/>
    <w:uiPriority w:val="39"/>
    <w:rsid w:val="001334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5AF3"/>
    <w:rPr>
      <w:rFonts w:ascii="Times New Roman" w:eastAsia="Times New Roman" w:hAnsi="Times New Roman" w:cs="Times New Roman"/>
      <w:b/>
      <w:bCs/>
      <w:kern w:val="36"/>
      <w:sz w:val="48"/>
      <w:szCs w:val="48"/>
      <w:lang w:eastAsia="en-NZ"/>
      <w14:ligatures w14:val="none"/>
    </w:rPr>
  </w:style>
  <w:style w:type="character" w:customStyle="1" w:styleId="Heading4Char">
    <w:name w:val="Heading 4 Char"/>
    <w:basedOn w:val="DefaultParagraphFont"/>
    <w:link w:val="Heading4"/>
    <w:uiPriority w:val="9"/>
    <w:rsid w:val="00405AF3"/>
    <w:rPr>
      <w:rFonts w:ascii="Times New Roman" w:eastAsia="Times New Roman" w:hAnsi="Times New Roman" w:cs="Times New Roman"/>
      <w:b/>
      <w:bCs/>
      <w:kern w:val="0"/>
      <w:sz w:val="24"/>
      <w:szCs w:val="24"/>
      <w:lang w:eastAsia="en-NZ"/>
      <w14:ligatures w14:val="none"/>
    </w:rPr>
  </w:style>
  <w:style w:type="character" w:styleId="Hyperlink">
    <w:name w:val="Hyperlink"/>
    <w:basedOn w:val="DefaultParagraphFont"/>
    <w:uiPriority w:val="99"/>
    <w:semiHidden/>
    <w:unhideWhenUsed/>
    <w:rsid w:val="00405AF3"/>
    <w:rPr>
      <w:color w:val="0000FF"/>
      <w:u w:val="single"/>
    </w:rPr>
  </w:style>
  <w:style w:type="paragraph" w:customStyle="1" w:styleId="menu-item">
    <w:name w:val="menu-item"/>
    <w:basedOn w:val="Normal"/>
    <w:rsid w:val="00405AF3"/>
    <w:pPr>
      <w:spacing w:before="100" w:beforeAutospacing="1" w:after="100" w:afterAutospacing="1"/>
    </w:pPr>
    <w:rPr>
      <w:rFonts w:ascii="Times New Roman" w:eastAsia="Times New Roman" w:hAnsi="Times New Roman" w:cs="Times New Roman"/>
      <w:kern w:val="0"/>
      <w:sz w:val="24"/>
      <w:szCs w:val="24"/>
      <w:lang w:eastAsia="en-NZ"/>
      <w14:ligatures w14:val="none"/>
    </w:rPr>
  </w:style>
  <w:style w:type="paragraph" w:customStyle="1" w:styleId="invoke-search">
    <w:name w:val="invoke-search"/>
    <w:basedOn w:val="Normal"/>
    <w:rsid w:val="00405AF3"/>
    <w:pPr>
      <w:spacing w:before="100" w:beforeAutospacing="1" w:after="100" w:afterAutospacing="1"/>
    </w:pPr>
    <w:rPr>
      <w:rFonts w:ascii="Times New Roman" w:eastAsia="Times New Roman" w:hAnsi="Times New Roman" w:cs="Times New Roman"/>
      <w:kern w:val="0"/>
      <w:sz w:val="24"/>
      <w:szCs w:val="24"/>
      <w:lang w:eastAsia="en-NZ"/>
      <w14:ligatures w14:val="none"/>
    </w:rPr>
  </w:style>
  <w:style w:type="paragraph" w:customStyle="1" w:styleId="meta-date">
    <w:name w:val="meta-date"/>
    <w:basedOn w:val="Normal"/>
    <w:rsid w:val="00405AF3"/>
    <w:pPr>
      <w:spacing w:before="100" w:beforeAutospacing="1" w:after="100" w:afterAutospacing="1"/>
    </w:pPr>
    <w:rPr>
      <w:rFonts w:ascii="Times New Roman" w:eastAsia="Times New Roman" w:hAnsi="Times New Roman" w:cs="Times New Roman"/>
      <w:kern w:val="0"/>
      <w:sz w:val="24"/>
      <w:szCs w:val="24"/>
      <w:lang w:eastAsia="en-NZ"/>
      <w14:ligatures w14:val="none"/>
    </w:rPr>
  </w:style>
  <w:style w:type="paragraph" w:customStyle="1" w:styleId="meta-author">
    <w:name w:val="meta-author"/>
    <w:basedOn w:val="Normal"/>
    <w:rsid w:val="00405AF3"/>
    <w:pPr>
      <w:spacing w:before="100" w:beforeAutospacing="1" w:after="100" w:afterAutospacing="1"/>
    </w:pPr>
    <w:rPr>
      <w:rFonts w:ascii="Times New Roman" w:eastAsia="Times New Roman" w:hAnsi="Times New Roman" w:cs="Times New Roman"/>
      <w:kern w:val="0"/>
      <w:sz w:val="24"/>
      <w:szCs w:val="24"/>
      <w:lang w:eastAsia="en-NZ"/>
      <w14:ligatures w14:val="none"/>
    </w:rPr>
  </w:style>
  <w:style w:type="paragraph" w:customStyle="1" w:styleId="meta-category">
    <w:name w:val="meta-category"/>
    <w:basedOn w:val="Normal"/>
    <w:rsid w:val="00405AF3"/>
    <w:pPr>
      <w:spacing w:before="100" w:beforeAutospacing="1" w:after="100" w:afterAutospacing="1"/>
    </w:pPr>
    <w:rPr>
      <w:rFonts w:ascii="Times New Roman" w:eastAsia="Times New Roman" w:hAnsi="Times New Roman" w:cs="Times New Roman"/>
      <w:kern w:val="0"/>
      <w:sz w:val="24"/>
      <w:szCs w:val="24"/>
      <w:lang w:eastAsia="en-NZ"/>
      <w14:ligatures w14:val="none"/>
    </w:rPr>
  </w:style>
  <w:style w:type="character" w:styleId="Emphasis">
    <w:name w:val="Emphasis"/>
    <w:basedOn w:val="DefaultParagraphFont"/>
    <w:uiPriority w:val="20"/>
    <w:qFormat/>
    <w:rsid w:val="00405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98169">
      <w:bodyDiv w:val="1"/>
      <w:marLeft w:val="0"/>
      <w:marRight w:val="0"/>
      <w:marTop w:val="0"/>
      <w:marBottom w:val="0"/>
      <w:divBdr>
        <w:top w:val="none" w:sz="0" w:space="0" w:color="auto"/>
        <w:left w:val="none" w:sz="0" w:space="0" w:color="auto"/>
        <w:bottom w:val="none" w:sz="0" w:space="0" w:color="auto"/>
        <w:right w:val="none" w:sz="0" w:space="0" w:color="auto"/>
      </w:divBdr>
      <w:divsChild>
        <w:div w:id="281569638">
          <w:marLeft w:val="0"/>
          <w:marRight w:val="0"/>
          <w:marTop w:val="0"/>
          <w:marBottom w:val="0"/>
          <w:divBdr>
            <w:top w:val="none" w:sz="0" w:space="0" w:color="auto"/>
            <w:left w:val="none" w:sz="0" w:space="0" w:color="auto"/>
            <w:bottom w:val="none" w:sz="0" w:space="0" w:color="auto"/>
            <w:right w:val="none" w:sz="0" w:space="0" w:color="auto"/>
          </w:divBdr>
          <w:divsChild>
            <w:div w:id="633829108">
              <w:marLeft w:val="0"/>
              <w:marRight w:val="0"/>
              <w:marTop w:val="0"/>
              <w:marBottom w:val="0"/>
              <w:divBdr>
                <w:top w:val="none" w:sz="0" w:space="0" w:color="auto"/>
                <w:left w:val="none" w:sz="0" w:space="0" w:color="auto"/>
                <w:bottom w:val="none" w:sz="0" w:space="0" w:color="auto"/>
                <w:right w:val="none" w:sz="0" w:space="0" w:color="auto"/>
              </w:divBdr>
              <w:divsChild>
                <w:div w:id="1509952827">
                  <w:marLeft w:val="0"/>
                  <w:marRight w:val="0"/>
                  <w:marTop w:val="0"/>
                  <w:marBottom w:val="0"/>
                  <w:divBdr>
                    <w:top w:val="none" w:sz="0" w:space="0" w:color="auto"/>
                    <w:left w:val="none" w:sz="0" w:space="0" w:color="auto"/>
                    <w:bottom w:val="none" w:sz="0" w:space="0" w:color="auto"/>
                    <w:right w:val="none" w:sz="0" w:space="0" w:color="auto"/>
                  </w:divBdr>
                  <w:divsChild>
                    <w:div w:id="2121757924">
                      <w:marLeft w:val="0"/>
                      <w:marRight w:val="0"/>
                      <w:marTop w:val="0"/>
                      <w:marBottom w:val="0"/>
                      <w:divBdr>
                        <w:top w:val="none" w:sz="0" w:space="0" w:color="auto"/>
                        <w:left w:val="none" w:sz="0" w:space="0" w:color="auto"/>
                        <w:bottom w:val="none" w:sz="0" w:space="0" w:color="auto"/>
                        <w:right w:val="none" w:sz="0" w:space="0" w:color="auto"/>
                      </w:divBdr>
                    </w:div>
                    <w:div w:id="1266957559">
                      <w:marLeft w:val="0"/>
                      <w:marRight w:val="0"/>
                      <w:marTop w:val="0"/>
                      <w:marBottom w:val="0"/>
                      <w:divBdr>
                        <w:top w:val="none" w:sz="0" w:space="0" w:color="auto"/>
                        <w:left w:val="none" w:sz="0" w:space="0" w:color="auto"/>
                        <w:bottom w:val="none" w:sz="0" w:space="0" w:color="auto"/>
                        <w:right w:val="none" w:sz="0" w:space="0" w:color="auto"/>
                      </w:divBdr>
                      <w:divsChild>
                        <w:div w:id="8955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52926">
          <w:marLeft w:val="0"/>
          <w:marRight w:val="0"/>
          <w:marTop w:val="0"/>
          <w:marBottom w:val="0"/>
          <w:divBdr>
            <w:top w:val="none" w:sz="0" w:space="0" w:color="auto"/>
            <w:left w:val="none" w:sz="0" w:space="0" w:color="auto"/>
            <w:bottom w:val="none" w:sz="0" w:space="0" w:color="auto"/>
            <w:right w:val="none" w:sz="0" w:space="0" w:color="auto"/>
          </w:divBdr>
          <w:divsChild>
            <w:div w:id="2083600966">
              <w:marLeft w:val="0"/>
              <w:marRight w:val="0"/>
              <w:marTop w:val="0"/>
              <w:marBottom w:val="0"/>
              <w:divBdr>
                <w:top w:val="none" w:sz="0" w:space="0" w:color="auto"/>
                <w:left w:val="none" w:sz="0" w:space="0" w:color="auto"/>
                <w:bottom w:val="none" w:sz="0" w:space="0" w:color="auto"/>
                <w:right w:val="none" w:sz="0" w:space="0" w:color="auto"/>
              </w:divBdr>
              <w:divsChild>
                <w:div w:id="965698101">
                  <w:marLeft w:val="0"/>
                  <w:marRight w:val="0"/>
                  <w:marTop w:val="0"/>
                  <w:marBottom w:val="0"/>
                  <w:divBdr>
                    <w:top w:val="none" w:sz="0" w:space="0" w:color="auto"/>
                    <w:left w:val="none" w:sz="0" w:space="0" w:color="auto"/>
                    <w:bottom w:val="none" w:sz="0" w:space="0" w:color="auto"/>
                    <w:right w:val="none" w:sz="0" w:space="0" w:color="auto"/>
                  </w:divBdr>
                </w:div>
                <w:div w:id="721752652">
                  <w:marLeft w:val="0"/>
                  <w:marRight w:val="0"/>
                  <w:marTop w:val="0"/>
                  <w:marBottom w:val="0"/>
                  <w:divBdr>
                    <w:top w:val="none" w:sz="0" w:space="0" w:color="auto"/>
                    <w:left w:val="none" w:sz="0" w:space="0" w:color="auto"/>
                    <w:bottom w:val="none" w:sz="0" w:space="0" w:color="auto"/>
                    <w:right w:val="none" w:sz="0" w:space="0" w:color="auto"/>
                  </w:divBdr>
                  <w:divsChild>
                    <w:div w:id="792016336">
                      <w:marLeft w:val="0"/>
                      <w:marRight w:val="0"/>
                      <w:marTop w:val="0"/>
                      <w:marBottom w:val="0"/>
                      <w:divBdr>
                        <w:top w:val="none" w:sz="0" w:space="0" w:color="auto"/>
                        <w:left w:val="none" w:sz="0" w:space="0" w:color="auto"/>
                        <w:bottom w:val="none" w:sz="0" w:space="0" w:color="auto"/>
                        <w:right w:val="none" w:sz="0" w:space="0" w:color="auto"/>
                      </w:divBdr>
                    </w:div>
                    <w:div w:id="2104497034">
                      <w:marLeft w:val="0"/>
                      <w:marRight w:val="0"/>
                      <w:marTop w:val="0"/>
                      <w:marBottom w:val="0"/>
                      <w:divBdr>
                        <w:top w:val="none" w:sz="0" w:space="0" w:color="auto"/>
                        <w:left w:val="none" w:sz="0" w:space="0" w:color="auto"/>
                        <w:bottom w:val="none" w:sz="0" w:space="0" w:color="auto"/>
                        <w:right w:val="none" w:sz="0" w:space="0" w:color="auto"/>
                      </w:divBdr>
                    </w:div>
                    <w:div w:id="6941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eforthrivingplaces.org/could-a-wellbeing-economy-approach-transform-the-nhs/" TargetMode="External"/><Relationship Id="rId13" Type="http://schemas.openxmlformats.org/officeDocument/2006/relationships/hyperlink" Target="https://www.centreforthrivingplaces.org/could-a-wellbeing-economy-approach-transform-the-nhs/" TargetMode="External"/><Relationship Id="rId18" Type="http://schemas.openxmlformats.org/officeDocument/2006/relationships/hyperlink" Target="https://cles.org.uk/publications/health-institutions-as-anchors-establishing-proof-of-concept-in-the-nh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entreforthrivingplaces.org/could-a-wellbeing-economy-approach-transform-the-nhs/" TargetMode="External"/><Relationship Id="rId12" Type="http://schemas.openxmlformats.org/officeDocument/2006/relationships/image" Target="media/image2.jpeg"/><Relationship Id="rId17" Type="http://schemas.openxmlformats.org/officeDocument/2006/relationships/hyperlink" Target="https://www.midandsouthessex.ics.nhs.uk/your-area/mid-essex/alliance/" TargetMode="External"/><Relationship Id="rId2" Type="http://schemas.openxmlformats.org/officeDocument/2006/relationships/styles" Target="styles.xml"/><Relationship Id="rId16" Type="http://schemas.openxmlformats.org/officeDocument/2006/relationships/hyperlink" Target="https://www.england.nhs.uk/integratedcare/what-is-integrated-care/" TargetMode="External"/><Relationship Id="rId20" Type="http://schemas.openxmlformats.org/officeDocument/2006/relationships/hyperlink" Target="mailto:hello@centreforthrivingplaces.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entreforthrivingplaces.org/wp-content/uploads/2023/06/pexels-fauxels-3183197-2.jpg" TargetMode="External"/><Relationship Id="rId5" Type="http://schemas.openxmlformats.org/officeDocument/2006/relationships/hyperlink" Target="https://www.centreforthrivingplaces.org/" TargetMode="External"/><Relationship Id="rId15" Type="http://schemas.openxmlformats.org/officeDocument/2006/relationships/hyperlink" Target="https://www.centreforthrivingplaces.org/category/blog/" TargetMode="External"/><Relationship Id="rId10" Type="http://schemas.openxmlformats.org/officeDocument/2006/relationships/hyperlink" Target="https://www.centreforthrivingplaces.org/contact/" TargetMode="External"/><Relationship Id="rId19" Type="http://schemas.openxmlformats.org/officeDocument/2006/relationships/hyperlink" Target="https://cles.org.uk/publications/healthy-places/" TargetMode="External"/><Relationship Id="rId4" Type="http://schemas.openxmlformats.org/officeDocument/2006/relationships/webSettings" Target="webSettings.xml"/><Relationship Id="rId9" Type="http://schemas.openxmlformats.org/officeDocument/2006/relationships/hyperlink" Target="https://www.centreforthrivingplaces.org/could-a-wellbeing-economy-approach-transform-the-nhs/" TargetMode="External"/><Relationship Id="rId14" Type="http://schemas.openxmlformats.org/officeDocument/2006/relationships/hyperlink" Target="https://www.centreforthrivingplaces.org/author/rachel-laure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McKinlay</dc:creator>
  <cp:keywords/>
  <dc:description/>
  <cp:lastModifiedBy>Peter McKinlay</cp:lastModifiedBy>
  <cp:revision>1</cp:revision>
  <dcterms:created xsi:type="dcterms:W3CDTF">2023-07-04T08:15:00Z</dcterms:created>
  <dcterms:modified xsi:type="dcterms:W3CDTF">2023-07-04T08:18:00Z</dcterms:modified>
</cp:coreProperties>
</file>